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62AAC">
      <w:pPr>
        <w:pStyle w:val="2"/>
        <w:spacing w:before="0" w:after="0" w:line="360" w:lineRule="auto"/>
        <w:jc w:val="center"/>
        <w:rPr>
          <w:rFonts w:hint="eastAsia" w:ascii="仿宋" w:hAnsi="仿宋" w:eastAsia="仿宋" w:cs="仿宋"/>
          <w:bCs w:val="0"/>
          <w:color w:val="auto"/>
          <w:sz w:val="28"/>
          <w:szCs w:val="28"/>
          <w:highlight w:val="none"/>
          <w:lang w:eastAsia="zh-CN"/>
        </w:rPr>
      </w:pPr>
      <w:r>
        <w:rPr>
          <w:rFonts w:hint="eastAsia" w:ascii="仿宋" w:hAnsi="仿宋" w:eastAsia="仿宋" w:cs="仿宋"/>
          <w:bCs w:val="0"/>
          <w:color w:val="auto"/>
          <w:sz w:val="28"/>
          <w:szCs w:val="28"/>
          <w:highlight w:val="none"/>
          <w:lang w:eastAsia="zh-CN"/>
        </w:rPr>
        <w:t>人保财险云南省临沧市分公司本部物业服务采购项目</w:t>
      </w:r>
    </w:p>
    <w:p w14:paraId="3A132149">
      <w:pPr>
        <w:pStyle w:val="2"/>
        <w:spacing w:before="0" w:after="0" w:line="360" w:lineRule="auto"/>
        <w:jc w:val="center"/>
        <w:rPr>
          <w:rFonts w:ascii="仿宋" w:hAnsi="仿宋" w:eastAsia="仿宋" w:cs="仿宋"/>
          <w:bCs w:val="0"/>
          <w:color w:val="auto"/>
          <w:sz w:val="28"/>
          <w:szCs w:val="28"/>
          <w:highlight w:val="none"/>
        </w:rPr>
      </w:pPr>
      <w:r>
        <w:rPr>
          <w:rFonts w:hint="eastAsia" w:ascii="仿宋" w:hAnsi="仿宋" w:eastAsia="仿宋" w:cs="仿宋"/>
          <w:bCs w:val="0"/>
          <w:color w:val="auto"/>
          <w:sz w:val="28"/>
          <w:szCs w:val="28"/>
          <w:highlight w:val="none"/>
        </w:rPr>
        <w:t>竞争性磋商公告</w:t>
      </w:r>
    </w:p>
    <w:p w14:paraId="7179D379">
      <w:pPr>
        <w:wordWrap w:val="0"/>
        <w:spacing w:line="360" w:lineRule="auto"/>
        <w:ind w:firstLine="480" w:firstLineChars="2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w:t>
      </w:r>
      <w:r>
        <w:rPr>
          <w:rFonts w:hint="eastAsia" w:ascii="仿宋" w:hAnsi="仿宋" w:eastAsia="仿宋" w:cs="仿宋"/>
          <w:color w:val="auto"/>
          <w:sz w:val="24"/>
          <w:highlight w:val="none"/>
          <w:u w:val="single"/>
          <w:lang w:eastAsia="zh-CN"/>
        </w:rPr>
        <w:t>人保财险云南省临沧市分公司本部物业服务采购项目</w:t>
      </w:r>
      <w:r>
        <w:rPr>
          <w:rFonts w:hint="eastAsia" w:ascii="仿宋" w:hAnsi="仿宋" w:eastAsia="仿宋" w:cs="仿宋"/>
          <w:color w:val="auto"/>
          <w:sz w:val="24"/>
          <w:highlight w:val="none"/>
        </w:rPr>
        <w:t>（采购代理项目编号：</w:t>
      </w:r>
      <w:r>
        <w:rPr>
          <w:rFonts w:hint="eastAsia" w:ascii="仿宋" w:hAnsi="仿宋" w:eastAsia="仿宋" w:cs="仿宋"/>
          <w:color w:val="auto"/>
          <w:sz w:val="24"/>
          <w:highlight w:val="none"/>
          <w:lang w:eastAsia="zh-CN"/>
        </w:rPr>
        <w:t>ZZ2601919B010395</w:t>
      </w:r>
      <w:r>
        <w:rPr>
          <w:rFonts w:hint="eastAsia" w:ascii="仿宋" w:hAnsi="仿宋" w:eastAsia="仿宋" w:cs="仿宋"/>
          <w:color w:val="auto"/>
          <w:sz w:val="24"/>
          <w:highlight w:val="none"/>
        </w:rPr>
        <w:t>）由</w:t>
      </w:r>
      <w:r>
        <w:rPr>
          <w:rFonts w:hint="eastAsia" w:ascii="仿宋" w:hAnsi="仿宋" w:eastAsia="仿宋" w:cs="仿宋"/>
          <w:color w:val="auto"/>
          <w:sz w:val="24"/>
          <w:highlight w:val="none"/>
          <w:u w:val="single"/>
          <w:lang w:eastAsia="zh-CN"/>
        </w:rPr>
        <w:t>中国人民财产保险股份有限公司临沧市分公司</w:t>
      </w:r>
      <w:r>
        <w:rPr>
          <w:rFonts w:hint="eastAsia" w:ascii="仿宋" w:hAnsi="仿宋" w:eastAsia="仿宋" w:cs="仿宋"/>
          <w:color w:val="auto"/>
          <w:sz w:val="24"/>
          <w:highlight w:val="none"/>
        </w:rPr>
        <w:t>（以下简称“采购人”）批准并落实资金，组织本项目的磋商工作，采购合同由</w:t>
      </w:r>
      <w:r>
        <w:rPr>
          <w:rFonts w:hint="eastAsia" w:ascii="仿宋" w:hAnsi="仿宋" w:eastAsia="仿宋" w:cs="仿宋"/>
          <w:color w:val="auto"/>
          <w:sz w:val="24"/>
          <w:highlight w:val="none"/>
          <w:u w:val="single"/>
          <w:lang w:eastAsia="zh-CN"/>
        </w:rPr>
        <w:t>中国人民财产保险股份有限公司临沧市分公司</w:t>
      </w:r>
      <w:r>
        <w:rPr>
          <w:rFonts w:hint="eastAsia" w:ascii="仿宋" w:hAnsi="仿宋" w:eastAsia="仿宋" w:cs="仿宋"/>
          <w:color w:val="auto"/>
          <w:sz w:val="24"/>
          <w:highlight w:val="none"/>
        </w:rPr>
        <w:t>（以下简称“</w:t>
      </w:r>
      <w:r>
        <w:rPr>
          <w:rFonts w:hint="eastAsia" w:ascii="仿宋" w:hAnsi="仿宋" w:eastAsia="仿宋" w:cs="仿宋"/>
          <w:color w:val="auto"/>
          <w:sz w:val="24"/>
          <w:highlight w:val="none"/>
          <w:lang w:eastAsia="zh-CN"/>
        </w:rPr>
        <w:t>人保财险临沧市分公司</w:t>
      </w:r>
      <w:r>
        <w:rPr>
          <w:rFonts w:hint="eastAsia" w:ascii="仿宋" w:hAnsi="仿宋" w:eastAsia="仿宋" w:cs="仿宋"/>
          <w:color w:val="auto"/>
          <w:sz w:val="24"/>
          <w:highlight w:val="none"/>
        </w:rPr>
        <w:t xml:space="preserve">”）根据成交结果与成交人签署。现委托云南中咨海外咨询有限公司（以下简称“采购代理机构”）进行公开竞争性磋商，有意向且具有提供标的物能力的潜在供应商（以下简称“供应商”）可前来参与磋商响应。 </w:t>
      </w:r>
    </w:p>
    <w:p w14:paraId="71A28961">
      <w:pPr>
        <w:pStyle w:val="3"/>
        <w:ind w:firstLine="0" w:firstLineChars="0"/>
        <w:jc w:val="left"/>
        <w:rPr>
          <w:rFonts w:hint="eastAsia" w:ascii="仿宋" w:hAnsi="仿宋" w:eastAsia="仿宋" w:cs="仿宋"/>
          <w:color w:val="auto"/>
          <w:sz w:val="24"/>
          <w:szCs w:val="24"/>
          <w:highlight w:val="none"/>
        </w:rPr>
      </w:pPr>
      <w:bookmarkStart w:id="0" w:name="_Toc20851"/>
      <w:r>
        <w:rPr>
          <w:rFonts w:hint="eastAsia" w:ascii="仿宋" w:hAnsi="仿宋" w:eastAsia="仿宋" w:cs="仿宋"/>
          <w:color w:val="auto"/>
          <w:sz w:val="24"/>
          <w:szCs w:val="24"/>
          <w:highlight w:val="none"/>
        </w:rPr>
        <w:t>一、项目概况与采购范围</w:t>
      </w:r>
      <w:bookmarkEnd w:id="0"/>
    </w:p>
    <w:p w14:paraId="0E1C3613">
      <w:pPr>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1.1 项目名称：</w:t>
      </w:r>
      <w:r>
        <w:rPr>
          <w:rFonts w:hint="eastAsia" w:ascii="仿宋" w:hAnsi="仿宋" w:eastAsia="仿宋" w:cs="仿宋"/>
          <w:color w:val="auto"/>
          <w:sz w:val="24"/>
          <w:highlight w:val="none"/>
          <w:u w:val="single"/>
          <w:lang w:eastAsia="zh-CN"/>
        </w:rPr>
        <w:t>人保财险云南省临沧市分公司本部物业服务采购项目</w:t>
      </w:r>
      <w:r>
        <w:rPr>
          <w:rFonts w:hint="eastAsia" w:ascii="仿宋" w:hAnsi="仿宋" w:eastAsia="仿宋" w:cs="仿宋"/>
          <w:color w:val="auto"/>
          <w:sz w:val="24"/>
          <w:highlight w:val="none"/>
        </w:rPr>
        <w:t>。</w:t>
      </w:r>
    </w:p>
    <w:p w14:paraId="2EB2CCD2">
      <w:pPr>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1.2 采购范围：采购1家服务商，派驻保安4名、消控室值班人员2名，提供为期3年的安保秩序维护、出入管控、停车管理、消控室24小时值班、消防隐患排查等专项物业服务，具体技术要求详见第五章采购需求。</w:t>
      </w:r>
    </w:p>
    <w:p w14:paraId="5697070D">
      <w:pPr>
        <w:adjustRightInd w:val="0"/>
        <w:snapToGrid w:val="0"/>
        <w:spacing w:line="360" w:lineRule="auto"/>
        <w:ind w:firstLine="480" w:firstLineChars="200"/>
        <w:jc w:val="left"/>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1.3采购预算：三年共计792000.00元（大写：柒拾玖万贰仟元整）。</w:t>
      </w:r>
    </w:p>
    <w:p w14:paraId="11844101">
      <w:pPr>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标包划分：本项目不划分标包</w:t>
      </w:r>
    </w:p>
    <w:p w14:paraId="5517D948">
      <w:pPr>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项目性质：服务。</w:t>
      </w:r>
    </w:p>
    <w:p w14:paraId="1E9D7347">
      <w:pPr>
        <w:adjustRightInd w:val="0"/>
        <w:snapToGrid w:val="0"/>
        <w:spacing w:line="360" w:lineRule="auto"/>
        <w:ind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服务期限：</w:t>
      </w:r>
      <w:r>
        <w:rPr>
          <w:rFonts w:hint="eastAsia" w:ascii="仿宋" w:hAnsi="仿宋" w:eastAsia="仿宋" w:cs="仿宋"/>
          <w:color w:val="auto"/>
          <w:sz w:val="24"/>
          <w:highlight w:val="none"/>
          <w:lang w:val="en-US" w:eastAsia="zh-CN"/>
        </w:rPr>
        <w:t>3年，合同一年一签。</w:t>
      </w:r>
    </w:p>
    <w:p w14:paraId="685B3320">
      <w:pPr>
        <w:adjustRightInd w:val="0"/>
        <w:snapToGrid w:val="0"/>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服务地点：</w:t>
      </w:r>
      <w:r>
        <w:rPr>
          <w:rFonts w:hint="eastAsia" w:ascii="仿宋" w:hAnsi="仿宋" w:eastAsia="仿宋" w:cs="仿宋"/>
          <w:color w:val="auto"/>
          <w:sz w:val="24"/>
          <w:szCs w:val="24"/>
          <w:highlight w:val="none"/>
          <w:lang w:val="en-US" w:eastAsia="zh-CN"/>
        </w:rPr>
        <w:t>采购人指定地点</w:t>
      </w:r>
      <w:r>
        <w:rPr>
          <w:rFonts w:hint="eastAsia" w:ascii="仿宋" w:hAnsi="仿宋" w:eastAsia="仿宋" w:cs="仿宋"/>
          <w:color w:val="auto"/>
          <w:sz w:val="24"/>
          <w:szCs w:val="24"/>
          <w:highlight w:val="none"/>
        </w:rPr>
        <w:t>。</w:t>
      </w:r>
    </w:p>
    <w:p w14:paraId="361E043C">
      <w:pPr>
        <w:pStyle w:val="3"/>
        <w:ind w:firstLine="0" w:firstLineChars="0"/>
        <w:jc w:val="left"/>
        <w:rPr>
          <w:rFonts w:hint="eastAsia" w:ascii="仿宋" w:hAnsi="仿宋" w:eastAsia="仿宋" w:cs="仿宋"/>
          <w:color w:val="auto"/>
          <w:sz w:val="24"/>
          <w:szCs w:val="24"/>
          <w:highlight w:val="none"/>
        </w:rPr>
      </w:pPr>
      <w:bookmarkStart w:id="1" w:name="_Toc30583"/>
      <w:r>
        <w:rPr>
          <w:rFonts w:hint="eastAsia" w:ascii="仿宋" w:hAnsi="仿宋" w:eastAsia="仿宋" w:cs="仿宋"/>
          <w:color w:val="auto"/>
          <w:sz w:val="24"/>
          <w:szCs w:val="24"/>
          <w:highlight w:val="none"/>
        </w:rPr>
        <w:t>二、供应商资格要求</w:t>
      </w:r>
      <w:bookmarkEnd w:id="1"/>
    </w:p>
    <w:p w14:paraId="13B0F59B">
      <w:pPr>
        <w:spacing w:line="360" w:lineRule="auto"/>
        <w:ind w:firstLine="482" w:firstLineChars="200"/>
        <w:textAlignment w:val="baseline"/>
        <w:rPr>
          <w:rFonts w:hint="eastAsia" w:ascii="仿宋" w:hAnsi="仿宋" w:eastAsia="仿宋" w:cs="宋体"/>
          <w:color w:val="auto"/>
          <w:sz w:val="24"/>
          <w:highlight w:val="none"/>
        </w:rPr>
      </w:pPr>
      <w:r>
        <w:rPr>
          <w:rFonts w:hint="eastAsia" w:ascii="仿宋" w:hAnsi="仿宋" w:eastAsia="仿宋" w:cs="宋体"/>
          <w:b/>
          <w:bCs/>
          <w:color w:val="auto"/>
          <w:sz w:val="24"/>
          <w:highlight w:val="none"/>
        </w:rPr>
        <w:t>2.1在中华人民共和国境内依法登记的法人或其他组织</w:t>
      </w:r>
      <w:r>
        <w:rPr>
          <w:rFonts w:hint="eastAsia" w:ascii="仿宋" w:hAnsi="仿宋" w:eastAsia="仿宋" w:cs="宋体"/>
          <w:color w:val="auto"/>
          <w:sz w:val="24"/>
          <w:highlight w:val="none"/>
        </w:rPr>
        <w:t>，具有独立承担民事责任的能力，供应商如为企业法人，须提供企业法人营业执照（复印件）；供应商如为事业单位或其他组织，须提供事业单位法人证书或登记证或组织机构代码证或其他有效证明文件（复印件）；</w:t>
      </w:r>
    </w:p>
    <w:p w14:paraId="7FD04E29">
      <w:pPr>
        <w:spacing w:line="360" w:lineRule="auto"/>
        <w:ind w:firstLine="482" w:firstLineChars="200"/>
        <w:textAlignment w:val="baseline"/>
        <w:rPr>
          <w:rFonts w:hint="eastAsia" w:ascii="仿宋" w:hAnsi="仿宋" w:eastAsia="仿宋" w:cs="宋体"/>
          <w:color w:val="auto"/>
          <w:sz w:val="24"/>
          <w:highlight w:val="none"/>
        </w:rPr>
      </w:pPr>
      <w:r>
        <w:rPr>
          <w:rFonts w:hint="eastAsia" w:ascii="仿宋" w:hAnsi="仿宋" w:eastAsia="仿宋" w:cs="宋体"/>
          <w:b/>
          <w:bCs/>
          <w:color w:val="auto"/>
          <w:sz w:val="24"/>
          <w:highlight w:val="none"/>
          <w:lang w:val="en-US" w:eastAsia="zh-CN"/>
        </w:rPr>
        <w:t>2.2</w:t>
      </w:r>
      <w:r>
        <w:rPr>
          <w:rFonts w:hint="eastAsia" w:ascii="仿宋" w:hAnsi="仿宋" w:eastAsia="仿宋" w:cs="宋体"/>
          <w:b/>
          <w:bCs/>
          <w:color w:val="auto"/>
          <w:sz w:val="24"/>
          <w:highlight w:val="none"/>
        </w:rPr>
        <w:t>具有良好的商业信誉和健全的财务会计制度</w:t>
      </w:r>
      <w:r>
        <w:rPr>
          <w:rFonts w:hint="eastAsia" w:ascii="仿宋" w:hAnsi="仿宋" w:eastAsia="仿宋" w:cs="宋体"/>
          <w:color w:val="auto"/>
          <w:sz w:val="24"/>
          <w:highlight w:val="none"/>
        </w:rPr>
        <w:t>，提供2024年度</w:t>
      </w:r>
      <w:r>
        <w:rPr>
          <w:rFonts w:hint="eastAsia" w:ascii="仿宋" w:hAnsi="仿宋" w:eastAsia="仿宋" w:cs="宋体"/>
          <w:color w:val="auto"/>
          <w:sz w:val="24"/>
          <w:highlight w:val="none"/>
          <w:lang w:eastAsia="zh-CN"/>
        </w:rPr>
        <w:t>或</w:t>
      </w:r>
      <w:r>
        <w:rPr>
          <w:rFonts w:hint="eastAsia" w:ascii="仿宋" w:hAnsi="仿宋" w:eastAsia="仿宋" w:cs="宋体"/>
          <w:color w:val="auto"/>
          <w:sz w:val="24"/>
          <w:highlight w:val="none"/>
          <w:lang w:val="en-US" w:eastAsia="zh-CN"/>
        </w:rPr>
        <w:t>2025年度</w:t>
      </w:r>
      <w:r>
        <w:rPr>
          <w:rFonts w:hint="eastAsia" w:ascii="仿宋" w:hAnsi="仿宋" w:eastAsia="仿宋" w:cs="宋体"/>
          <w:color w:val="auto"/>
          <w:sz w:val="24"/>
          <w:highlight w:val="none"/>
        </w:rPr>
        <w:t>经会计师事务所或审计机构审计的财务审计报告及财务报表（至少包含会计师事务所或审计机构签章页、资产负债表、现金流量表、损益表/利润表）或提供响应文件递交截止日前6个月内开具的银行资信证明。</w:t>
      </w:r>
    </w:p>
    <w:p w14:paraId="4509525D">
      <w:pPr>
        <w:spacing w:line="360" w:lineRule="auto"/>
        <w:ind w:firstLine="480" w:firstLineChars="200"/>
        <w:textAlignment w:val="baseline"/>
        <w:rPr>
          <w:rFonts w:hint="eastAsia" w:ascii="仿宋" w:hAnsi="仿宋" w:eastAsia="仿宋" w:cs="宋体"/>
          <w:color w:val="auto"/>
          <w:sz w:val="24"/>
          <w:highlight w:val="none"/>
          <w:lang w:val="en-US"/>
        </w:rPr>
      </w:pPr>
      <w:r>
        <w:rPr>
          <w:rFonts w:hint="eastAsia" w:ascii="仿宋" w:hAnsi="仿宋" w:eastAsia="仿宋" w:cs="宋体"/>
          <w:color w:val="auto"/>
          <w:sz w:val="24"/>
          <w:highlight w:val="none"/>
          <w:lang w:val="en-US" w:eastAsia="zh-CN"/>
        </w:rPr>
        <w:t>说明：经审计的审计报告应有“注册会计师行业统一监管平台”赋予的验证码，以验证报告真实性，如审计报告未赋验证码，供应商应同时提供出具报告的第三方审计机构盖章的情况说明，说明中应明确未赋码原因，否则投标文件按无效处理。</w:t>
      </w:r>
    </w:p>
    <w:p w14:paraId="2FD630CA">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2.3</w:t>
      </w:r>
      <w:r>
        <w:rPr>
          <w:rFonts w:hint="eastAsia" w:ascii="仿宋" w:hAnsi="仿宋" w:eastAsia="仿宋" w:cs="宋体"/>
          <w:b/>
          <w:bCs/>
          <w:color w:val="auto"/>
          <w:sz w:val="24"/>
          <w:highlight w:val="none"/>
        </w:rPr>
        <w:t>供应商应具有履行合同所必需的设备和专业技术能力</w:t>
      </w:r>
      <w:r>
        <w:rPr>
          <w:rFonts w:hint="eastAsia" w:ascii="仿宋" w:hAnsi="仿宋" w:eastAsia="仿宋" w:cs="宋体"/>
          <w:color w:val="auto"/>
          <w:sz w:val="24"/>
          <w:highlight w:val="none"/>
        </w:rPr>
        <w:t>，提供具有履行合同所必需的设备和专业技术能力书面声明或相关证明材料复印件。</w:t>
      </w:r>
    </w:p>
    <w:p w14:paraId="0629EFC2">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2.4</w:t>
      </w:r>
      <w:r>
        <w:rPr>
          <w:rFonts w:hint="eastAsia" w:ascii="仿宋" w:hAnsi="仿宋" w:eastAsia="仿宋" w:cs="宋体"/>
          <w:b/>
          <w:bCs/>
          <w:color w:val="auto"/>
          <w:sz w:val="24"/>
          <w:highlight w:val="none"/>
        </w:rPr>
        <w:t>具有依法缴纳税收和社会保障资金的良好记录</w:t>
      </w:r>
      <w:r>
        <w:rPr>
          <w:rFonts w:hint="eastAsia" w:ascii="仿宋" w:hAnsi="仿宋" w:eastAsia="仿宋" w:cs="宋体"/>
          <w:color w:val="auto"/>
          <w:sz w:val="24"/>
          <w:highlight w:val="none"/>
        </w:rPr>
        <w:t>，提供2025年1月至今任意</w:t>
      </w:r>
      <w:r>
        <w:rPr>
          <w:rFonts w:hint="eastAsia" w:ascii="仿宋" w:hAnsi="仿宋" w:eastAsia="仿宋" w:cs="宋体"/>
          <w:color w:val="auto"/>
          <w:sz w:val="24"/>
          <w:highlight w:val="none"/>
          <w:lang w:val="en-US" w:eastAsia="zh-CN"/>
        </w:rPr>
        <w:t>1</w:t>
      </w:r>
      <w:r>
        <w:rPr>
          <w:rFonts w:hint="eastAsia" w:ascii="仿宋" w:hAnsi="仿宋" w:eastAsia="仿宋" w:cs="宋体"/>
          <w:color w:val="auto"/>
          <w:sz w:val="24"/>
          <w:highlight w:val="none"/>
        </w:rPr>
        <w:t>个月缴纳税收和社会保障资金证明材料。（成立未满1年的提供成立以来的税收和社会保障资金缴纳凭证或相关情况说明；依法免税或不需要缴纳社会保障资金的供应商，应提供相应文件证明其依法免税或不需要缴纳社会保障资金）。</w:t>
      </w:r>
    </w:p>
    <w:p w14:paraId="4D2E99E8">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2.5</w:t>
      </w:r>
      <w:r>
        <w:rPr>
          <w:rFonts w:hint="eastAsia" w:ascii="仿宋" w:hAnsi="仿宋" w:eastAsia="仿宋" w:cs="宋体"/>
          <w:color w:val="auto"/>
          <w:sz w:val="24"/>
          <w:highlight w:val="none"/>
        </w:rPr>
        <w:t>供应商应经营状况良好，且近三年内（2023年1月1日至今）无违法违规记录。违法违规记录是指被“信用中国”列入失信被执行人、重大税收违法失信主体、政府采购严重违法失信行为记录名单。供应商需提供自</w:t>
      </w:r>
      <w:r>
        <w:rPr>
          <w:rFonts w:hint="eastAsia" w:ascii="仿宋" w:hAnsi="仿宋" w:eastAsia="仿宋" w:cs="宋体"/>
          <w:color w:val="auto"/>
          <w:sz w:val="24"/>
          <w:highlight w:val="none"/>
          <w:lang w:eastAsia="zh-CN"/>
        </w:rPr>
        <w:t>磋商</w:t>
      </w:r>
      <w:r>
        <w:rPr>
          <w:rFonts w:hint="eastAsia" w:ascii="仿宋" w:hAnsi="仿宋" w:eastAsia="仿宋" w:cs="宋体"/>
          <w:color w:val="auto"/>
          <w:sz w:val="24"/>
          <w:highlight w:val="none"/>
        </w:rPr>
        <w:t>公告发布之日至响应文件递交截止之日期间对以上三项内容的查询截图。</w:t>
      </w:r>
    </w:p>
    <w:p w14:paraId="73CE762F">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rPr>
        <w:t>信用中国查询网址：https://www.creditchina.gov.cn/xinyongfuwu/?navPage=5</w:t>
      </w:r>
    </w:p>
    <w:p w14:paraId="414589CF">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2.6</w:t>
      </w:r>
      <w:r>
        <w:rPr>
          <w:rFonts w:hint="eastAsia" w:ascii="仿宋" w:hAnsi="仿宋" w:eastAsia="仿宋" w:cs="宋体"/>
          <w:color w:val="auto"/>
          <w:sz w:val="24"/>
          <w:highlight w:val="none"/>
        </w:rPr>
        <w:t>严禁列入采购人及其所隶属的中国人民保险各级机构的供应商黑名单且在禁入期内的供应商参与采购活动。</w:t>
      </w:r>
    </w:p>
    <w:p w14:paraId="59CD99C3">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2.7</w:t>
      </w:r>
      <w:r>
        <w:rPr>
          <w:rFonts w:hint="eastAsia" w:ascii="仿宋" w:hAnsi="仿宋" w:eastAsia="仿宋" w:cs="宋体"/>
          <w:color w:val="auto"/>
          <w:sz w:val="24"/>
          <w:highlight w:val="none"/>
        </w:rPr>
        <w:t>单位负责人为同一人或存在控股、管理关系的不同单位，不得参加同一标段/标包</w:t>
      </w:r>
      <w:r>
        <w:rPr>
          <w:rFonts w:hint="eastAsia" w:ascii="仿宋" w:hAnsi="仿宋" w:eastAsia="仿宋" w:cs="宋体"/>
          <w:color w:val="auto"/>
          <w:sz w:val="24"/>
          <w:highlight w:val="none"/>
          <w:lang w:eastAsia="zh-CN"/>
        </w:rPr>
        <w:t>磋商</w:t>
      </w:r>
      <w:r>
        <w:rPr>
          <w:rFonts w:hint="eastAsia" w:ascii="仿宋" w:hAnsi="仿宋" w:eastAsia="仿宋" w:cs="宋体"/>
          <w:color w:val="auto"/>
          <w:sz w:val="24"/>
          <w:highlight w:val="none"/>
        </w:rPr>
        <w:t>响应或未划分标段/标包的同一采购项目的</w:t>
      </w:r>
      <w:r>
        <w:rPr>
          <w:rFonts w:hint="eastAsia" w:ascii="仿宋" w:hAnsi="仿宋" w:eastAsia="仿宋" w:cs="宋体"/>
          <w:color w:val="auto"/>
          <w:sz w:val="24"/>
          <w:highlight w:val="none"/>
          <w:lang w:eastAsia="zh-CN"/>
        </w:rPr>
        <w:t>磋商</w:t>
      </w:r>
      <w:r>
        <w:rPr>
          <w:rFonts w:hint="eastAsia" w:ascii="仿宋" w:hAnsi="仿宋" w:eastAsia="仿宋" w:cs="宋体"/>
          <w:color w:val="auto"/>
          <w:sz w:val="24"/>
          <w:highlight w:val="none"/>
        </w:rPr>
        <w:t>响应，需填写《供应商控股及管理关系情况申报表》。</w:t>
      </w:r>
    </w:p>
    <w:p w14:paraId="729A5E65">
      <w:pPr>
        <w:spacing w:line="360" w:lineRule="auto"/>
        <w:ind w:firstLine="480" w:firstLineChars="200"/>
        <w:textAlignment w:val="baseline"/>
        <w:rPr>
          <w:rFonts w:hint="eastAsia" w:ascii="仿宋" w:hAnsi="仿宋" w:eastAsia="仿宋" w:cs="宋体"/>
          <w:color w:val="auto"/>
          <w:sz w:val="24"/>
          <w:highlight w:val="none"/>
        </w:rPr>
      </w:pPr>
      <w:r>
        <w:rPr>
          <w:rFonts w:hint="eastAsia" w:ascii="仿宋" w:hAnsi="仿宋" w:eastAsia="仿宋" w:cs="宋体"/>
          <w:color w:val="auto"/>
          <w:sz w:val="24"/>
          <w:highlight w:val="none"/>
          <w:lang w:val="en-US" w:eastAsia="zh-CN"/>
        </w:rPr>
        <w:t>2.8</w:t>
      </w:r>
      <w:r>
        <w:rPr>
          <w:rFonts w:hint="eastAsia" w:ascii="仿宋" w:hAnsi="仿宋" w:eastAsia="仿宋" w:cs="宋体"/>
          <w:color w:val="auto"/>
          <w:sz w:val="24"/>
          <w:highlight w:val="none"/>
        </w:rPr>
        <w:t>本项目不接受联合体</w:t>
      </w:r>
      <w:r>
        <w:rPr>
          <w:rFonts w:hint="eastAsia" w:ascii="仿宋" w:hAnsi="仿宋" w:eastAsia="仿宋" w:cs="宋体"/>
          <w:color w:val="auto"/>
          <w:sz w:val="24"/>
          <w:highlight w:val="none"/>
          <w:lang w:eastAsia="zh-CN"/>
        </w:rPr>
        <w:t>磋商</w:t>
      </w:r>
      <w:r>
        <w:rPr>
          <w:rFonts w:hint="eastAsia" w:ascii="仿宋" w:hAnsi="仿宋" w:eastAsia="仿宋" w:cs="宋体"/>
          <w:color w:val="auto"/>
          <w:sz w:val="24"/>
          <w:highlight w:val="none"/>
        </w:rPr>
        <w:t>响应</w:t>
      </w:r>
      <w:r>
        <w:rPr>
          <w:rFonts w:hint="eastAsia" w:ascii="仿宋" w:hAnsi="仿宋" w:eastAsia="仿宋" w:cs="宋体"/>
          <w:color w:val="auto"/>
          <w:sz w:val="24"/>
          <w:highlight w:val="none"/>
          <w:lang w:eastAsia="zh-CN"/>
        </w:rPr>
        <w:t>，不分包、转包</w:t>
      </w:r>
      <w:r>
        <w:rPr>
          <w:rFonts w:hint="eastAsia" w:ascii="仿宋" w:hAnsi="仿宋" w:eastAsia="仿宋" w:cs="宋体"/>
          <w:color w:val="auto"/>
          <w:sz w:val="24"/>
          <w:highlight w:val="none"/>
        </w:rPr>
        <w:t>。</w:t>
      </w:r>
    </w:p>
    <w:p w14:paraId="38ED377C">
      <w:pPr>
        <w:spacing w:line="360" w:lineRule="auto"/>
        <w:ind w:firstLine="480" w:firstLineChars="200"/>
        <w:textAlignment w:val="baseline"/>
        <w:rPr>
          <w:rFonts w:hint="default" w:ascii="仿宋" w:hAnsi="仿宋" w:eastAsia="仿宋" w:cs="宋体"/>
          <w:color w:val="auto"/>
          <w:sz w:val="21"/>
          <w:szCs w:val="21"/>
          <w:highlight w:val="none"/>
          <w:lang w:val="en-US"/>
        </w:rPr>
      </w:pPr>
      <w:r>
        <w:rPr>
          <w:rFonts w:hint="eastAsia" w:ascii="仿宋" w:hAnsi="仿宋" w:eastAsia="仿宋" w:cs="宋体"/>
          <w:color w:val="auto"/>
          <w:sz w:val="24"/>
          <w:highlight w:val="none"/>
          <w:lang w:val="en-US" w:eastAsia="zh-CN"/>
        </w:rPr>
        <w:t>2.9</w:t>
      </w:r>
      <w:r>
        <w:rPr>
          <w:rFonts w:hint="eastAsia" w:ascii="仿宋" w:hAnsi="仿宋" w:eastAsia="仿宋" w:cs="宋体"/>
          <w:b/>
          <w:bCs/>
          <w:color w:val="auto"/>
          <w:sz w:val="24"/>
          <w:highlight w:val="none"/>
        </w:rPr>
        <w:t>其它资格要求</w:t>
      </w:r>
      <w:r>
        <w:rPr>
          <w:rFonts w:hint="eastAsia" w:ascii="仿宋" w:hAnsi="仿宋" w:eastAsia="仿宋" w:cs="宋体"/>
          <w:color w:val="auto"/>
          <w:sz w:val="24"/>
          <w:highlight w:val="none"/>
        </w:rPr>
        <w:t>：</w:t>
      </w:r>
      <w:r>
        <w:rPr>
          <w:rFonts w:hint="eastAsia" w:ascii="仿宋" w:hAnsi="仿宋" w:eastAsia="仿宋" w:cs="宋体"/>
          <w:color w:val="auto"/>
          <w:sz w:val="21"/>
          <w:szCs w:val="21"/>
          <w:highlight w:val="none"/>
          <w:lang w:val="en-US" w:eastAsia="zh-CN"/>
        </w:rPr>
        <w:t>供应商须持有公安机关核发且在有效期内的《保安服务许可证》，提供证书复印件并加盖公章。</w:t>
      </w:r>
    </w:p>
    <w:p w14:paraId="2169077C">
      <w:pPr>
        <w:pStyle w:val="3"/>
        <w:ind w:firstLine="0" w:firstLineChars="0"/>
        <w:jc w:val="left"/>
        <w:rPr>
          <w:rFonts w:hint="eastAsia" w:ascii="仿宋" w:hAnsi="仿宋" w:eastAsia="仿宋" w:cs="仿宋"/>
          <w:color w:val="auto"/>
          <w:sz w:val="24"/>
          <w:szCs w:val="24"/>
          <w:highlight w:val="none"/>
        </w:rPr>
      </w:pPr>
      <w:bookmarkStart w:id="2" w:name="_Toc4149"/>
      <w:r>
        <w:rPr>
          <w:rFonts w:hint="eastAsia" w:ascii="仿宋" w:hAnsi="仿宋" w:eastAsia="仿宋" w:cs="仿宋"/>
          <w:color w:val="auto"/>
          <w:sz w:val="24"/>
          <w:szCs w:val="24"/>
          <w:highlight w:val="none"/>
        </w:rPr>
        <w:t>三、资格审查方法</w:t>
      </w:r>
      <w:bookmarkEnd w:id="2"/>
    </w:p>
    <w:p w14:paraId="044D565B">
      <w:pPr>
        <w:spacing w:line="360" w:lineRule="auto"/>
        <w:ind w:firstLine="480" w:firstLineChars="2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本项目将进行资格后审，资格审查方法为合格制，资格审查标准和内容见磋商文件第三章评审办法。未通过资格后审的供应商，响应文件将被否决，不进入磋商、详细评审等后续环节。</w:t>
      </w:r>
    </w:p>
    <w:p w14:paraId="5339AD0F">
      <w:pPr>
        <w:pStyle w:val="3"/>
        <w:spacing w:after="240"/>
        <w:ind w:firstLine="0" w:firstLineChars="0"/>
        <w:jc w:val="left"/>
        <w:rPr>
          <w:rFonts w:hint="eastAsia" w:ascii="仿宋" w:hAnsi="仿宋" w:eastAsia="仿宋" w:cs="仿宋"/>
          <w:color w:val="auto"/>
          <w:sz w:val="24"/>
          <w:szCs w:val="24"/>
          <w:highlight w:val="none"/>
        </w:rPr>
      </w:pPr>
      <w:bookmarkStart w:id="3" w:name="_Toc9164"/>
      <w:r>
        <w:rPr>
          <w:rFonts w:hint="eastAsia" w:ascii="仿宋" w:hAnsi="仿宋" w:eastAsia="仿宋" w:cs="仿宋"/>
          <w:color w:val="auto"/>
          <w:sz w:val="24"/>
          <w:szCs w:val="24"/>
          <w:highlight w:val="none"/>
        </w:rPr>
        <w:t>四、磋商文件的获取</w:t>
      </w:r>
      <w:bookmarkEnd w:id="3"/>
    </w:p>
    <w:p w14:paraId="0EF969FF">
      <w:pPr>
        <w:pStyle w:val="6"/>
        <w:adjustRightInd w:val="0"/>
        <w:snapToGrid w:val="0"/>
        <w:ind w:firstLineChars="17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4.1磋商文件获取时间：</w:t>
      </w:r>
      <w:r>
        <w:rPr>
          <w:rFonts w:hint="eastAsia" w:ascii="仿宋" w:hAnsi="仿宋" w:eastAsia="仿宋" w:cs="仿宋"/>
          <w:b/>
          <w:color w:val="auto"/>
          <w:sz w:val="24"/>
          <w:szCs w:val="24"/>
          <w:highlight w:val="none"/>
          <w:u w:val="single"/>
        </w:rPr>
        <w:t>202</w:t>
      </w:r>
      <w:r>
        <w:rPr>
          <w:rFonts w:hint="eastAsia" w:ascii="仿宋" w:hAnsi="仿宋" w:eastAsia="仿宋" w:cs="仿宋"/>
          <w:b/>
          <w:color w:val="auto"/>
          <w:sz w:val="24"/>
          <w:szCs w:val="24"/>
          <w:highlight w:val="none"/>
          <w:u w:val="single"/>
          <w:lang w:val="en-US" w:eastAsia="zh-CN"/>
        </w:rPr>
        <w:t>6</w:t>
      </w:r>
      <w:r>
        <w:rPr>
          <w:rFonts w:hint="eastAsia" w:ascii="仿宋" w:hAnsi="仿宋" w:eastAsia="仿宋" w:cs="仿宋"/>
          <w:b/>
          <w:color w:val="auto"/>
          <w:sz w:val="24"/>
          <w:szCs w:val="24"/>
          <w:highlight w:val="none"/>
          <w:u w:val="single"/>
        </w:rPr>
        <w:t>年</w:t>
      </w:r>
      <w:r>
        <w:rPr>
          <w:rFonts w:hint="eastAsia" w:ascii="仿宋" w:hAnsi="仿宋" w:eastAsia="仿宋" w:cs="仿宋"/>
          <w:b/>
          <w:color w:val="auto"/>
          <w:sz w:val="24"/>
          <w:szCs w:val="24"/>
          <w:highlight w:val="none"/>
          <w:u w:val="single"/>
          <w:lang w:val="en-US" w:eastAsia="zh-CN"/>
        </w:rPr>
        <w:t>10</w:t>
      </w:r>
      <w:r>
        <w:rPr>
          <w:rFonts w:hint="eastAsia" w:ascii="仿宋" w:hAnsi="仿宋" w:eastAsia="仿宋" w:cs="仿宋"/>
          <w:b/>
          <w:color w:val="auto"/>
          <w:sz w:val="24"/>
          <w:szCs w:val="24"/>
          <w:highlight w:val="none"/>
          <w:u w:val="single"/>
        </w:rPr>
        <w:t>月</w:t>
      </w:r>
      <w:r>
        <w:rPr>
          <w:rFonts w:hint="eastAsia" w:ascii="仿宋" w:hAnsi="仿宋" w:eastAsia="仿宋" w:cs="仿宋"/>
          <w:b/>
          <w:color w:val="auto"/>
          <w:sz w:val="24"/>
          <w:szCs w:val="24"/>
          <w:highlight w:val="none"/>
          <w:u w:val="single"/>
          <w:lang w:val="en-US" w:eastAsia="zh-CN"/>
        </w:rPr>
        <w:t>13</w:t>
      </w:r>
      <w:r>
        <w:rPr>
          <w:rFonts w:hint="eastAsia" w:ascii="仿宋" w:hAnsi="仿宋" w:eastAsia="仿宋" w:cs="仿宋"/>
          <w:b/>
          <w:color w:val="auto"/>
          <w:sz w:val="24"/>
          <w:szCs w:val="24"/>
          <w:highlight w:val="none"/>
          <w:u w:val="single"/>
        </w:rPr>
        <w:t>日</w:t>
      </w:r>
      <w:r>
        <w:rPr>
          <w:rFonts w:hint="eastAsia" w:ascii="仿宋" w:hAnsi="仿宋" w:eastAsia="仿宋" w:cs="仿宋"/>
          <w:b/>
          <w:color w:val="auto"/>
          <w:sz w:val="24"/>
          <w:szCs w:val="24"/>
          <w:highlight w:val="none"/>
        </w:rPr>
        <w:t>至</w:t>
      </w:r>
      <w:r>
        <w:rPr>
          <w:rFonts w:hint="eastAsia" w:ascii="仿宋" w:hAnsi="仿宋" w:eastAsia="仿宋" w:cs="仿宋"/>
          <w:b/>
          <w:color w:val="auto"/>
          <w:sz w:val="24"/>
          <w:szCs w:val="24"/>
          <w:highlight w:val="none"/>
          <w:u w:val="single"/>
        </w:rPr>
        <w:t>202</w:t>
      </w:r>
      <w:r>
        <w:rPr>
          <w:rFonts w:hint="eastAsia" w:ascii="仿宋" w:hAnsi="仿宋" w:eastAsia="仿宋" w:cs="仿宋"/>
          <w:b/>
          <w:color w:val="auto"/>
          <w:sz w:val="24"/>
          <w:szCs w:val="24"/>
          <w:highlight w:val="none"/>
          <w:u w:val="single"/>
          <w:lang w:val="en-US" w:eastAsia="zh-CN"/>
        </w:rPr>
        <w:t>6</w:t>
      </w:r>
      <w:r>
        <w:rPr>
          <w:rFonts w:hint="eastAsia" w:ascii="仿宋" w:hAnsi="仿宋" w:eastAsia="仿宋" w:cs="仿宋"/>
          <w:b/>
          <w:color w:val="auto"/>
          <w:sz w:val="24"/>
          <w:szCs w:val="24"/>
          <w:highlight w:val="none"/>
          <w:u w:val="single"/>
        </w:rPr>
        <w:t>年</w:t>
      </w:r>
      <w:r>
        <w:rPr>
          <w:rFonts w:hint="eastAsia" w:ascii="仿宋" w:hAnsi="仿宋" w:eastAsia="仿宋" w:cs="仿宋"/>
          <w:b/>
          <w:color w:val="auto"/>
          <w:sz w:val="24"/>
          <w:szCs w:val="24"/>
          <w:highlight w:val="none"/>
          <w:u w:val="single"/>
          <w:lang w:val="en-US" w:eastAsia="zh-CN"/>
        </w:rPr>
        <w:t>10</w:t>
      </w:r>
      <w:r>
        <w:rPr>
          <w:rFonts w:hint="eastAsia" w:ascii="仿宋" w:hAnsi="仿宋" w:eastAsia="仿宋" w:cs="仿宋"/>
          <w:b/>
          <w:color w:val="auto"/>
          <w:sz w:val="24"/>
          <w:szCs w:val="24"/>
          <w:highlight w:val="none"/>
          <w:u w:val="single"/>
        </w:rPr>
        <w:t>月</w:t>
      </w:r>
      <w:r>
        <w:rPr>
          <w:rFonts w:hint="eastAsia" w:ascii="仿宋" w:hAnsi="仿宋" w:eastAsia="仿宋" w:cs="仿宋"/>
          <w:b/>
          <w:color w:val="auto"/>
          <w:sz w:val="24"/>
          <w:szCs w:val="24"/>
          <w:highlight w:val="none"/>
          <w:u w:val="single"/>
          <w:lang w:val="en-US" w:eastAsia="zh-CN"/>
        </w:rPr>
        <w:t>19</w:t>
      </w:r>
      <w:r>
        <w:rPr>
          <w:rFonts w:hint="eastAsia" w:ascii="仿宋" w:hAnsi="仿宋" w:eastAsia="仿宋" w:cs="仿宋"/>
          <w:b/>
          <w:color w:val="auto"/>
          <w:sz w:val="24"/>
          <w:szCs w:val="24"/>
          <w:highlight w:val="none"/>
          <w:u w:val="single"/>
        </w:rPr>
        <w:t>日</w:t>
      </w:r>
      <w:r>
        <w:rPr>
          <w:rFonts w:hint="eastAsia" w:ascii="仿宋" w:hAnsi="仿宋" w:eastAsia="仿宋" w:cs="仿宋"/>
          <w:b w:val="0"/>
          <w:bCs/>
          <w:color w:val="auto"/>
          <w:sz w:val="24"/>
          <w:szCs w:val="24"/>
          <w:highlight w:val="none"/>
          <w:u w:val="single"/>
        </w:rPr>
        <w:t>，</w:t>
      </w:r>
      <w:r>
        <w:rPr>
          <w:rFonts w:hint="eastAsia" w:ascii="仿宋" w:hAnsi="仿宋" w:eastAsia="仿宋" w:cs="仿宋"/>
          <w:color w:val="auto"/>
          <w:sz w:val="24"/>
          <w:szCs w:val="24"/>
          <w:highlight w:val="none"/>
        </w:rPr>
        <w:t>上午9:00时至12:00时，下午13:30时至17:30时（北京时间，下同）。</w:t>
      </w:r>
    </w:p>
    <w:p w14:paraId="558C5ACD">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4.2拟报名参加本项目的供应商，</w:t>
      </w:r>
      <w:r>
        <w:rPr>
          <w:rFonts w:hint="eastAsia" w:ascii="仿宋" w:hAnsi="仿宋" w:eastAsia="仿宋" w:cs="仿宋"/>
          <w:b/>
          <w:bCs/>
          <w:color w:val="auto"/>
          <w:sz w:val="24"/>
          <w:highlight w:val="none"/>
          <w:u w:val="single"/>
        </w:rPr>
        <w:t>持营业执照或组织证书（复印件加盖公章）、法定代表人（负责人）身份证明书（原件）、法定代表人（负责人）授权委托书（原件）、法定代表人（负责人）或委托代理人居民身份证（原件及复印件加盖公章）</w:t>
      </w:r>
      <w:r>
        <w:rPr>
          <w:rFonts w:hint="eastAsia" w:ascii="仿宋" w:hAnsi="仿宋" w:eastAsia="仿宋" w:cs="仿宋"/>
          <w:color w:val="auto"/>
          <w:sz w:val="24"/>
          <w:highlight w:val="none"/>
        </w:rPr>
        <w:t>在规定的获取</w:t>
      </w:r>
      <w:r>
        <w:rPr>
          <w:rFonts w:hint="eastAsia" w:ascii="仿宋" w:hAnsi="仿宋" w:eastAsia="仿宋" w:cs="仿宋"/>
          <w:color w:val="auto"/>
          <w:sz w:val="24"/>
          <w:highlight w:val="none"/>
          <w:lang w:eastAsia="zh-CN"/>
        </w:rPr>
        <w:t>竞争性磋商</w:t>
      </w:r>
      <w:r>
        <w:rPr>
          <w:rFonts w:hint="eastAsia" w:ascii="仿宋" w:hAnsi="仿宋" w:eastAsia="仿宋" w:cs="仿宋"/>
          <w:color w:val="auto"/>
          <w:sz w:val="24"/>
          <w:highlight w:val="none"/>
        </w:rPr>
        <w:t>时间内至规定的获取</w:t>
      </w:r>
      <w:r>
        <w:rPr>
          <w:rFonts w:hint="eastAsia" w:ascii="仿宋" w:hAnsi="仿宋" w:eastAsia="仿宋" w:cs="仿宋"/>
          <w:color w:val="auto"/>
          <w:sz w:val="24"/>
          <w:highlight w:val="none"/>
          <w:lang w:eastAsia="zh-CN"/>
        </w:rPr>
        <w:t>竞争性磋商</w:t>
      </w:r>
      <w:r>
        <w:rPr>
          <w:rFonts w:hint="eastAsia" w:ascii="仿宋" w:hAnsi="仿宋" w:eastAsia="仿宋" w:cs="仿宋"/>
          <w:color w:val="auto"/>
          <w:sz w:val="24"/>
          <w:highlight w:val="none"/>
        </w:rPr>
        <w:t>地点现场获取</w:t>
      </w:r>
      <w:r>
        <w:rPr>
          <w:rFonts w:hint="eastAsia" w:ascii="仿宋" w:hAnsi="仿宋" w:eastAsia="仿宋" w:cs="仿宋"/>
          <w:color w:val="auto"/>
          <w:sz w:val="24"/>
          <w:highlight w:val="none"/>
          <w:lang w:eastAsia="zh-CN"/>
        </w:rPr>
        <w:t>竞争性磋商</w:t>
      </w:r>
      <w:r>
        <w:rPr>
          <w:rFonts w:hint="eastAsia" w:ascii="仿宋" w:hAnsi="仿宋" w:eastAsia="仿宋" w:cs="仿宋"/>
          <w:color w:val="auto"/>
          <w:sz w:val="24"/>
          <w:highlight w:val="none"/>
        </w:rPr>
        <w:t>或将上述资料在规定的获取</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时间内以扫描件的方式发至采购代理机构邮箱（</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"mailto:ynzz2015@163.com）,同时电话联系采购代理机构项目负责人"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highlight w:val="none"/>
        </w:rPr>
        <w:t>ynzzkdt@163.com）,同时电话联系采购代理机构项目负责人</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获取</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。售价：人民币</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00.00元/套，售后不退。</w:t>
      </w:r>
    </w:p>
    <w:p w14:paraId="4E54A941">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4.3地点：供应商可从云南中咨海外咨询有限公司三楼前台（云南省昆明市滇池度假区中天融域一期写字楼17幢1单元3楼前台）获取</w:t>
      </w:r>
      <w:r>
        <w:rPr>
          <w:rFonts w:hint="eastAsia" w:ascii="仿宋" w:hAnsi="仿宋" w:eastAsia="仿宋" w:cs="仿宋"/>
          <w:color w:val="auto"/>
          <w:sz w:val="24"/>
          <w:highlight w:val="none"/>
          <w:lang w:eastAsia="zh-CN"/>
        </w:rPr>
        <w:t>磋商文件</w:t>
      </w:r>
      <w:r>
        <w:rPr>
          <w:rFonts w:hint="eastAsia" w:ascii="仿宋" w:hAnsi="仿宋" w:eastAsia="仿宋" w:cs="仿宋"/>
          <w:color w:val="auto"/>
          <w:sz w:val="24"/>
          <w:highlight w:val="none"/>
        </w:rPr>
        <w:t>和相关资料。</w:t>
      </w:r>
    </w:p>
    <w:p w14:paraId="3CBA361E">
      <w:pPr>
        <w:pStyle w:val="3"/>
        <w:ind w:firstLine="0" w:firstLineChars="0"/>
        <w:jc w:val="left"/>
        <w:rPr>
          <w:rFonts w:hint="eastAsia" w:ascii="仿宋" w:hAnsi="仿宋" w:eastAsia="仿宋" w:cs="仿宋"/>
          <w:color w:val="auto"/>
          <w:sz w:val="24"/>
          <w:szCs w:val="24"/>
          <w:highlight w:val="none"/>
        </w:rPr>
      </w:pPr>
      <w:bookmarkStart w:id="4" w:name="_Toc5377"/>
      <w:r>
        <w:rPr>
          <w:rFonts w:hint="eastAsia" w:ascii="仿宋" w:hAnsi="仿宋" w:eastAsia="仿宋" w:cs="仿宋"/>
          <w:color w:val="auto"/>
          <w:sz w:val="24"/>
          <w:szCs w:val="24"/>
          <w:highlight w:val="none"/>
        </w:rPr>
        <w:t>五、响应文件的递交</w:t>
      </w:r>
      <w:bookmarkEnd w:id="4"/>
    </w:p>
    <w:p w14:paraId="058A3FE0">
      <w:pPr>
        <w:spacing w:line="360" w:lineRule="auto"/>
        <w:ind w:firstLine="480" w:firstLineChars="2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5.1响应文件递交截止时间：</w:t>
      </w:r>
      <w:r>
        <w:rPr>
          <w:rFonts w:hint="eastAsia" w:ascii="仿宋" w:hAnsi="仿宋" w:eastAsia="仿宋" w:cs="仿宋"/>
          <w:b/>
          <w:bCs/>
          <w:color w:val="auto"/>
          <w:sz w:val="24"/>
          <w:highlight w:val="none"/>
          <w:u w:val="single"/>
        </w:rPr>
        <w:t>20</w:t>
      </w:r>
      <w:r>
        <w:rPr>
          <w:rFonts w:hint="eastAsia" w:ascii="仿宋" w:hAnsi="仿宋" w:eastAsia="仿宋" w:cs="仿宋"/>
          <w:b/>
          <w:bCs/>
          <w:color w:val="auto"/>
          <w:sz w:val="24"/>
          <w:highlight w:val="none"/>
          <w:u w:val="single"/>
          <w:lang w:val="en-US" w:eastAsia="zh-CN"/>
        </w:rPr>
        <w:t>26</w:t>
      </w:r>
      <w:r>
        <w:rPr>
          <w:rFonts w:hint="eastAsia" w:ascii="仿宋" w:hAnsi="仿宋" w:eastAsia="仿宋" w:cs="仿宋"/>
          <w:b/>
          <w:bCs/>
          <w:color w:val="auto"/>
          <w:sz w:val="24"/>
          <w:highlight w:val="none"/>
          <w:u w:val="single"/>
        </w:rPr>
        <w:t>年</w:t>
      </w:r>
      <w:r>
        <w:rPr>
          <w:rFonts w:hint="eastAsia" w:ascii="仿宋" w:hAnsi="仿宋" w:eastAsia="仿宋" w:cs="仿宋"/>
          <w:b/>
          <w:bCs/>
          <w:color w:val="auto"/>
          <w:sz w:val="24"/>
          <w:highlight w:val="none"/>
          <w:u w:val="single"/>
          <w:lang w:val="en-US" w:eastAsia="zh-CN"/>
        </w:rPr>
        <w:t>10</w:t>
      </w:r>
      <w:r>
        <w:rPr>
          <w:rFonts w:hint="eastAsia" w:ascii="仿宋" w:hAnsi="仿宋" w:eastAsia="仿宋" w:cs="仿宋"/>
          <w:b/>
          <w:bCs/>
          <w:color w:val="auto"/>
          <w:sz w:val="24"/>
          <w:highlight w:val="none"/>
          <w:u w:val="single"/>
        </w:rPr>
        <w:t>月</w:t>
      </w:r>
      <w:r>
        <w:rPr>
          <w:rFonts w:hint="eastAsia" w:ascii="仿宋" w:hAnsi="仿宋" w:eastAsia="仿宋" w:cs="仿宋"/>
          <w:b/>
          <w:bCs/>
          <w:color w:val="auto"/>
          <w:sz w:val="24"/>
          <w:highlight w:val="none"/>
          <w:u w:val="single"/>
          <w:lang w:val="en-US" w:eastAsia="zh-CN"/>
        </w:rPr>
        <w:t>23</w:t>
      </w:r>
      <w:r>
        <w:rPr>
          <w:rFonts w:hint="eastAsia" w:ascii="仿宋" w:hAnsi="仿宋" w:eastAsia="仿宋" w:cs="仿宋"/>
          <w:b/>
          <w:bCs/>
          <w:color w:val="auto"/>
          <w:sz w:val="24"/>
          <w:highlight w:val="none"/>
          <w:u w:val="single"/>
        </w:rPr>
        <w:t>日</w:t>
      </w:r>
      <w:r>
        <w:rPr>
          <w:rFonts w:hint="eastAsia" w:ascii="仿宋" w:hAnsi="仿宋" w:eastAsia="仿宋" w:cs="仿宋"/>
          <w:b/>
          <w:bCs/>
          <w:color w:val="auto"/>
          <w:sz w:val="24"/>
          <w:highlight w:val="none"/>
          <w:u w:val="single"/>
          <w:lang w:val="en-US" w:eastAsia="zh-CN"/>
        </w:rPr>
        <w:t>14</w:t>
      </w:r>
      <w:r>
        <w:rPr>
          <w:rFonts w:hint="eastAsia" w:ascii="仿宋" w:hAnsi="仿宋" w:eastAsia="仿宋" w:cs="仿宋"/>
          <w:b/>
          <w:bCs/>
          <w:color w:val="auto"/>
          <w:sz w:val="24"/>
          <w:highlight w:val="none"/>
          <w:u w:val="single"/>
        </w:rPr>
        <w:t>时</w:t>
      </w:r>
      <w:r>
        <w:rPr>
          <w:rFonts w:hint="eastAsia" w:ascii="仿宋" w:hAnsi="仿宋" w:eastAsia="仿宋" w:cs="仿宋"/>
          <w:b/>
          <w:bCs/>
          <w:color w:val="auto"/>
          <w:sz w:val="24"/>
          <w:highlight w:val="none"/>
          <w:u w:val="single"/>
          <w:lang w:val="en-US" w:eastAsia="zh-CN"/>
        </w:rPr>
        <w:t>30</w:t>
      </w:r>
      <w:r>
        <w:rPr>
          <w:rFonts w:hint="eastAsia" w:ascii="仿宋" w:hAnsi="仿宋" w:eastAsia="仿宋" w:cs="仿宋"/>
          <w:b/>
          <w:bCs/>
          <w:color w:val="auto"/>
          <w:sz w:val="24"/>
          <w:highlight w:val="none"/>
          <w:u w:val="single"/>
        </w:rPr>
        <w:t>分</w:t>
      </w:r>
      <w:r>
        <w:rPr>
          <w:rFonts w:hint="eastAsia" w:ascii="仿宋" w:hAnsi="仿宋" w:eastAsia="仿宋" w:cs="仿宋"/>
          <w:b/>
          <w:bCs/>
          <w:color w:val="auto"/>
          <w:sz w:val="24"/>
          <w:highlight w:val="none"/>
          <w:u w:val="single"/>
          <w:lang w:val="en-US" w:eastAsia="zh-CN"/>
        </w:rPr>
        <w:t>00</w:t>
      </w:r>
      <w:r>
        <w:rPr>
          <w:rFonts w:hint="eastAsia" w:ascii="仿宋" w:hAnsi="仿宋" w:eastAsia="仿宋" w:cs="仿宋"/>
          <w:b/>
          <w:bCs/>
          <w:color w:val="auto"/>
          <w:sz w:val="24"/>
          <w:highlight w:val="none"/>
          <w:u w:val="single"/>
        </w:rPr>
        <w:t>秒</w:t>
      </w:r>
      <w:r>
        <w:rPr>
          <w:rFonts w:hint="eastAsia" w:ascii="仿宋" w:hAnsi="仿宋" w:eastAsia="仿宋" w:cs="仿宋"/>
          <w:color w:val="auto"/>
          <w:sz w:val="24"/>
          <w:highlight w:val="none"/>
        </w:rPr>
        <w:t>。</w:t>
      </w:r>
    </w:p>
    <w:p w14:paraId="743BA2A5">
      <w:pPr>
        <w:spacing w:line="360" w:lineRule="auto"/>
        <w:ind w:firstLine="480" w:firstLineChars="200"/>
        <w:jc w:val="left"/>
        <w:textAlignment w:val="baseline"/>
        <w:rPr>
          <w:rFonts w:hint="eastAsia" w:ascii="仿宋" w:hAnsi="仿宋" w:eastAsia="仿宋" w:cs="仿宋"/>
          <w:color w:val="auto"/>
          <w:highlight w:val="none"/>
        </w:rPr>
      </w:pPr>
      <w:r>
        <w:rPr>
          <w:rFonts w:hint="eastAsia" w:ascii="仿宋" w:hAnsi="仿宋" w:eastAsia="仿宋" w:cs="仿宋"/>
          <w:color w:val="auto"/>
          <w:sz w:val="24"/>
          <w:highlight w:val="none"/>
        </w:rPr>
        <w:t>5.2响应文件的递交：须现场递交至</w:t>
      </w:r>
      <w:r>
        <w:rPr>
          <w:rFonts w:hint="eastAsia" w:ascii="仿宋" w:hAnsi="仿宋" w:eastAsia="仿宋" w:cs="仿宋"/>
          <w:b/>
          <w:bCs/>
          <w:color w:val="auto"/>
          <w:sz w:val="24"/>
          <w:highlight w:val="none"/>
          <w:u w:val="single"/>
          <w:lang w:val="en-US" w:eastAsia="zh-CN"/>
        </w:rPr>
        <w:t xml:space="preserve">云南省临沧市临翔区南屏西路4号4楼会议室 </w:t>
      </w:r>
      <w:r>
        <w:rPr>
          <w:rFonts w:hint="eastAsia" w:ascii="仿宋" w:hAnsi="仿宋" w:eastAsia="仿宋" w:cs="仿宋"/>
          <w:color w:val="auto"/>
          <w:sz w:val="24"/>
          <w:highlight w:val="none"/>
        </w:rPr>
        <w:t>，</w:t>
      </w:r>
      <w:r>
        <w:rPr>
          <w:rFonts w:hint="eastAsia" w:ascii="仿宋" w:hAnsi="仿宋" w:eastAsia="仿宋" w:cs="仿宋"/>
          <w:b/>
          <w:bCs/>
          <w:color w:val="auto"/>
          <w:sz w:val="24"/>
          <w:highlight w:val="none"/>
        </w:rPr>
        <w:t>逾期送达或者未送达指定地点或者未按照磋商文件要求封装的纸质响应文件不予接收。</w:t>
      </w:r>
    </w:p>
    <w:p w14:paraId="67CE43FE">
      <w:pPr>
        <w:spacing w:line="360" w:lineRule="auto"/>
        <w:ind w:firstLine="480" w:firstLineChars="200"/>
        <w:textAlignment w:val="baseline"/>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color w:val="auto"/>
          <w:sz w:val="24"/>
          <w:highlight w:val="none"/>
        </w:rPr>
        <w:t>注：上述响应文件递交截止时间或递交地点如有变动，采购人或采购代理机构另行通知</w:t>
      </w:r>
      <w:r>
        <w:rPr>
          <w:rFonts w:hint="eastAsia" w:ascii="仿宋" w:hAnsi="仿宋" w:eastAsia="仿宋" w:cs="仿宋"/>
          <w:color w:val="auto"/>
          <w:sz w:val="24"/>
          <w:highlight w:val="none"/>
          <w:lang w:eastAsia="zh-CN"/>
        </w:rPr>
        <w:t>。</w:t>
      </w:r>
    </w:p>
    <w:p w14:paraId="405800FF">
      <w:pPr>
        <w:spacing w:line="360" w:lineRule="auto"/>
        <w:ind w:firstLine="480" w:firstLineChars="200"/>
        <w:textAlignment w:val="baseline"/>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5.3</w:t>
      </w:r>
      <w:r>
        <w:rPr>
          <w:rFonts w:hint="eastAsia" w:ascii="仿宋" w:hAnsi="仿宋" w:eastAsia="仿宋" w:cs="仿宋"/>
          <w:b w:val="0"/>
          <w:bCs w:val="0"/>
          <w:color w:val="auto"/>
          <w:kern w:val="2"/>
          <w:sz w:val="24"/>
          <w:szCs w:val="24"/>
          <w:highlight w:val="none"/>
          <w:lang w:val="en-US" w:eastAsia="zh-CN" w:bidi="ar-SA"/>
        </w:rPr>
        <w:t>本项目将于上述同一时间、地点进行磋商，采购人/采购代理机构邀请供应商代表准时参加。</w:t>
      </w:r>
    </w:p>
    <w:p w14:paraId="74D4E892">
      <w:pPr>
        <w:spacing w:line="360" w:lineRule="auto"/>
        <w:ind w:firstLine="480" w:firstLineChars="200"/>
        <w:textAlignment w:val="baseline"/>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5.4</w:t>
      </w:r>
      <w:r>
        <w:rPr>
          <w:rFonts w:hint="eastAsia" w:ascii="仿宋" w:hAnsi="仿宋" w:eastAsia="仿宋" w:cs="仿宋"/>
          <w:b/>
          <w:bCs/>
          <w:color w:val="auto"/>
          <w:kern w:val="2"/>
          <w:sz w:val="24"/>
          <w:szCs w:val="24"/>
          <w:highlight w:val="none"/>
          <w:lang w:val="en-US" w:eastAsia="zh-CN" w:bidi="ar-SA"/>
        </w:rPr>
        <w:t>出现以下情形之一时，采购人/采购代理机构不予接收响应文件：</w:t>
      </w:r>
    </w:p>
    <w:p w14:paraId="20F4F643">
      <w:pPr>
        <w:spacing w:line="360" w:lineRule="auto"/>
        <w:ind w:firstLine="480" w:firstLineChars="200"/>
        <w:textAlignment w:val="baseline"/>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5.4.1  逾期送达或者未送达指定地点的；</w:t>
      </w:r>
    </w:p>
    <w:p w14:paraId="1A3FE5BA">
      <w:pPr>
        <w:spacing w:line="360" w:lineRule="auto"/>
        <w:ind w:firstLine="480" w:firstLineChars="200"/>
        <w:textAlignment w:val="baseline"/>
        <w:rPr>
          <w:rFonts w:hint="eastAsia" w:ascii="仿宋" w:hAnsi="仿宋" w:eastAsia="仿宋" w:cs="仿宋"/>
          <w:b w:val="0"/>
          <w:color w:val="auto"/>
          <w:kern w:val="2"/>
          <w:sz w:val="24"/>
          <w:szCs w:val="24"/>
          <w:highlight w:val="none"/>
          <w:lang w:val="en-US" w:eastAsia="zh-CN" w:bidi="ar-SA"/>
        </w:rPr>
      </w:pPr>
      <w:r>
        <w:rPr>
          <w:rFonts w:hint="eastAsia" w:ascii="仿宋" w:hAnsi="仿宋" w:eastAsia="仿宋" w:cs="仿宋"/>
          <w:b w:val="0"/>
          <w:color w:val="auto"/>
          <w:kern w:val="2"/>
          <w:sz w:val="24"/>
          <w:szCs w:val="24"/>
          <w:highlight w:val="none"/>
          <w:lang w:val="en-US" w:eastAsia="zh-CN" w:bidi="ar-SA"/>
        </w:rPr>
        <w:t>5.4.2  未按照响应文件要求密封的；</w:t>
      </w:r>
    </w:p>
    <w:p w14:paraId="3CBEAF37">
      <w:pPr>
        <w:spacing w:line="360" w:lineRule="auto"/>
        <w:ind w:firstLine="480" w:firstLineChars="200"/>
        <w:textAlignment w:val="baseline"/>
        <w:rPr>
          <w:rFonts w:hint="eastAsia" w:ascii="仿宋" w:hAnsi="仿宋" w:eastAsia="仿宋" w:cs="仿宋"/>
          <w:color w:val="auto"/>
          <w:sz w:val="24"/>
          <w:highlight w:val="none"/>
        </w:rPr>
      </w:pPr>
      <w:r>
        <w:rPr>
          <w:rFonts w:hint="eastAsia" w:ascii="仿宋" w:hAnsi="仿宋" w:eastAsia="仿宋" w:cs="仿宋"/>
          <w:b w:val="0"/>
          <w:color w:val="auto"/>
          <w:kern w:val="2"/>
          <w:sz w:val="24"/>
          <w:szCs w:val="24"/>
          <w:highlight w:val="none"/>
          <w:lang w:val="en-US" w:eastAsia="zh-CN" w:bidi="ar-SA"/>
        </w:rPr>
        <w:t>5.4.3  未按照磋商公告要求获取磋商文件的。</w:t>
      </w:r>
    </w:p>
    <w:p w14:paraId="3C61686E">
      <w:pPr>
        <w:pStyle w:val="3"/>
        <w:ind w:firstLine="0" w:firstLineChars="0"/>
        <w:jc w:val="left"/>
        <w:rPr>
          <w:rFonts w:hint="eastAsia" w:ascii="仿宋" w:hAnsi="仿宋" w:eastAsia="仿宋" w:cs="仿宋"/>
          <w:color w:val="auto"/>
          <w:sz w:val="24"/>
          <w:szCs w:val="24"/>
          <w:highlight w:val="none"/>
        </w:rPr>
      </w:pPr>
      <w:bookmarkStart w:id="5" w:name="_Toc11561"/>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、发布公告的媒介</w:t>
      </w:r>
      <w:bookmarkEnd w:id="5"/>
    </w:p>
    <w:p w14:paraId="0068AB78">
      <w:pPr>
        <w:spacing w:line="360" w:lineRule="auto"/>
        <w:ind w:firstLine="480" w:firstLineChars="200"/>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本项目磋商公告同时在</w:t>
      </w:r>
      <w:r>
        <w:rPr>
          <w:rFonts w:hint="eastAsia" w:ascii="仿宋" w:hAnsi="仿宋" w:eastAsia="仿宋" w:cs="仿宋"/>
          <w:color w:val="auto"/>
          <w:sz w:val="24"/>
          <w:highlight w:val="none"/>
          <w:u w:val="single"/>
        </w:rPr>
        <w:t>“人保e采”外网门户（https://ec.picc.com/）、中国招标投标公共服务平台（http://www.cebpubservice.com）、中国采购与招标网（http://www.chinabidding.cn）、金采网（http://www.cfcpn.com）</w:t>
      </w:r>
      <w:r>
        <w:rPr>
          <w:rFonts w:hint="eastAsia" w:ascii="仿宋" w:hAnsi="仿宋" w:eastAsia="仿宋" w:cs="仿宋"/>
          <w:color w:val="auto"/>
          <w:sz w:val="24"/>
          <w:highlight w:val="none"/>
          <w:u w:val="single"/>
          <w:lang w:eastAsia="zh-CN"/>
        </w:rPr>
        <w:t>、云南中咨海外咨询有限公司网站（http://www.ynzzhw.cn/）</w:t>
      </w:r>
      <w:r>
        <w:rPr>
          <w:rFonts w:hint="eastAsia" w:ascii="仿宋" w:hAnsi="仿宋" w:eastAsia="仿宋" w:cs="仿宋"/>
          <w:color w:val="auto"/>
          <w:sz w:val="24"/>
          <w:highlight w:val="none"/>
        </w:rPr>
        <w:t>上发布，除上述外，采购人/采购代理机构不在其他任何网站、论坛等媒介上发布任何采购信息，其他任何媒介上转载的、以采购人/采购代理机构为采购主体的采购信息均为非法转载，均为无效。对于非法转载、篡改采购公告信息的组织或个人，采购人/采购代理机构保留追究其法律责任的权利。</w:t>
      </w:r>
    </w:p>
    <w:p w14:paraId="5FAE9DAC">
      <w:pPr>
        <w:pStyle w:val="3"/>
        <w:ind w:firstLine="0" w:firstLineChars="0"/>
        <w:jc w:val="left"/>
        <w:rPr>
          <w:rFonts w:hint="eastAsia" w:ascii="仿宋" w:hAnsi="仿宋" w:eastAsia="仿宋" w:cs="仿宋"/>
          <w:color w:val="auto"/>
          <w:sz w:val="24"/>
          <w:szCs w:val="24"/>
          <w:highlight w:val="none"/>
        </w:rPr>
      </w:pPr>
      <w:bookmarkStart w:id="6" w:name="_Toc4681"/>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、联系方式</w:t>
      </w:r>
      <w:bookmarkEnd w:id="6"/>
    </w:p>
    <w:p w14:paraId="581C384C">
      <w:pPr>
        <w:tabs>
          <w:tab w:val="left" w:pos="-105"/>
          <w:tab w:val="left" w:pos="420"/>
          <w:tab w:val="left" w:pos="630"/>
          <w:tab w:val="left" w:pos="1155"/>
          <w:tab w:val="left" w:pos="1890"/>
          <w:tab w:val="left" w:pos="3150"/>
          <w:tab w:val="left" w:pos="3780"/>
        </w:tabs>
        <w:spacing w:line="360" w:lineRule="auto"/>
        <w:ind w:firstLine="422" w:firstLineChars="175"/>
        <w:jc w:val="left"/>
        <w:rPr>
          <w:rFonts w:hint="eastAsia" w:ascii="仿宋" w:hAnsi="仿宋" w:eastAsia="仿宋" w:cs="仿宋"/>
          <w:b/>
          <w:bCs/>
          <w:color w:val="auto"/>
          <w:sz w:val="24"/>
          <w:highlight w:val="none"/>
          <w:lang w:eastAsia="zh-CN"/>
        </w:rPr>
      </w:pPr>
      <w:r>
        <w:rPr>
          <w:rFonts w:hint="eastAsia" w:ascii="仿宋" w:hAnsi="仿宋" w:eastAsia="仿宋" w:cs="仿宋"/>
          <w:b/>
          <w:bCs/>
          <w:color w:val="auto"/>
          <w:sz w:val="24"/>
          <w:highlight w:val="none"/>
        </w:rPr>
        <w:t>采购人：</w:t>
      </w:r>
      <w:r>
        <w:rPr>
          <w:rFonts w:hint="eastAsia" w:ascii="仿宋" w:hAnsi="仿宋" w:eastAsia="仿宋" w:cs="仿宋"/>
          <w:b/>
          <w:bCs/>
          <w:color w:val="auto"/>
          <w:sz w:val="24"/>
          <w:highlight w:val="none"/>
          <w:lang w:eastAsia="zh-CN"/>
        </w:rPr>
        <w:t>中国人民财产保险股份有限公司临沧市分公司</w:t>
      </w:r>
    </w:p>
    <w:p w14:paraId="34D14117">
      <w:pPr>
        <w:spacing w:line="360" w:lineRule="auto"/>
        <w:ind w:firstLine="420" w:firstLineChars="17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云南省临沧市临翔区南屏西路4号</w:t>
      </w:r>
    </w:p>
    <w:p w14:paraId="27CACD67">
      <w:pPr>
        <w:spacing w:line="360" w:lineRule="auto"/>
        <w:ind w:firstLine="420" w:firstLineChars="175"/>
        <w:jc w:val="left"/>
        <w:rPr>
          <w:rFonts w:hint="eastAsia" w:ascii="仿宋" w:hAnsi="仿宋" w:eastAsia="仿宋" w:cs="仿宋"/>
          <w:color w:val="auto"/>
          <w:sz w:val="24"/>
          <w:highlight w:val="none"/>
          <w:lang w:val="en-US" w:eastAsia="zh-CN"/>
        </w:rPr>
      </w:pPr>
    </w:p>
    <w:p w14:paraId="4FBCC325">
      <w:pPr>
        <w:spacing w:line="360" w:lineRule="auto"/>
        <w:ind w:firstLine="422" w:firstLineChars="175"/>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采购代理机构：云南中咨海外咨询有限公司</w:t>
      </w:r>
    </w:p>
    <w:p w14:paraId="2B849D79">
      <w:pPr>
        <w:spacing w:line="360" w:lineRule="auto"/>
        <w:ind w:firstLine="420" w:firstLineChars="17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bookmarkStart w:id="7" w:name="OLE_LINK16"/>
      <w:r>
        <w:rPr>
          <w:rFonts w:hint="eastAsia" w:ascii="仿宋" w:hAnsi="仿宋" w:eastAsia="仿宋" w:cs="仿宋"/>
          <w:color w:val="auto"/>
          <w:sz w:val="24"/>
          <w:highlight w:val="none"/>
        </w:rPr>
        <w:t>云南省昆明市滇池度假区中天融域一期写字楼17幢1单元</w:t>
      </w:r>
      <w:bookmarkEnd w:id="7"/>
      <w:r>
        <w:rPr>
          <w:rFonts w:hint="eastAsia" w:ascii="仿宋" w:hAnsi="仿宋" w:eastAsia="仿宋" w:cs="仿宋"/>
          <w:color w:val="auto"/>
          <w:sz w:val="24"/>
          <w:highlight w:val="none"/>
        </w:rPr>
        <w:t>4楼</w:t>
      </w:r>
    </w:p>
    <w:p w14:paraId="5AC21620">
      <w:pPr>
        <w:spacing w:line="360" w:lineRule="auto"/>
        <w:ind w:firstLine="420" w:firstLineChars="17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联系人：罗星雨、</w:t>
      </w:r>
      <w:r>
        <w:rPr>
          <w:rFonts w:hint="eastAsia" w:ascii="仿宋" w:hAnsi="仿宋" w:eastAsia="仿宋" w:cs="仿宋"/>
          <w:color w:val="auto"/>
          <w:sz w:val="24"/>
          <w:highlight w:val="none"/>
          <w:lang w:val="en-US" w:eastAsia="zh-CN"/>
        </w:rPr>
        <w:t>孙雅婷</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肖毅</w:t>
      </w:r>
      <w:r>
        <w:rPr>
          <w:rFonts w:hint="eastAsia" w:ascii="仿宋" w:hAnsi="仿宋" w:eastAsia="仿宋" w:cs="仿宋"/>
          <w:color w:val="auto"/>
          <w:sz w:val="24"/>
          <w:highlight w:val="none"/>
        </w:rPr>
        <w:t>、王丹、梁</w:t>
      </w:r>
      <w:bookmarkStart w:id="8" w:name="_GoBack"/>
      <w:bookmarkEnd w:id="8"/>
      <w:r>
        <w:rPr>
          <w:rFonts w:hint="eastAsia" w:ascii="仿宋" w:hAnsi="仿宋" w:eastAsia="仿宋" w:cs="仿宋"/>
          <w:color w:val="auto"/>
          <w:sz w:val="24"/>
          <w:highlight w:val="none"/>
        </w:rPr>
        <w:t>增伟、王东月、沙琪、张志维、冯世海、王凯、陈永、李杰</w:t>
      </w:r>
    </w:p>
    <w:p w14:paraId="2553B00E">
      <w:pPr>
        <w:spacing w:line="360" w:lineRule="auto"/>
        <w:ind w:firstLine="420" w:firstLineChars="17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电话：0871-63190178</w:t>
      </w:r>
    </w:p>
    <w:p w14:paraId="258921B4">
      <w:pPr>
        <w:spacing w:line="360" w:lineRule="auto"/>
        <w:ind w:firstLine="420" w:firstLineChars="17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电子邮件：ynzzkdt@163.com</w:t>
      </w:r>
    </w:p>
    <w:p w14:paraId="5DC0EC69">
      <w:pPr>
        <w:spacing w:line="360" w:lineRule="auto"/>
        <w:ind w:firstLine="420" w:firstLineChars="17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开户银行：工商银行昆明南市区支行</w:t>
      </w:r>
    </w:p>
    <w:p w14:paraId="5F73499D">
      <w:pPr>
        <w:spacing w:line="360" w:lineRule="auto"/>
        <w:ind w:firstLine="420" w:firstLineChars="175"/>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帐号：2502025019200136802</w:t>
      </w:r>
    </w:p>
    <w:p w14:paraId="1D1FEB93">
      <w:pPr>
        <w:spacing w:line="360" w:lineRule="auto"/>
        <w:ind w:firstLine="480" w:firstLineChars="200"/>
        <w:jc w:val="right"/>
        <w:textAlignment w:val="baseline"/>
        <w:rPr>
          <w:rFonts w:hint="eastAsia" w:ascii="仿宋" w:hAnsi="仿宋" w:eastAsia="仿宋" w:cs="仿宋"/>
          <w:color w:val="auto"/>
          <w:sz w:val="24"/>
          <w:highlight w:val="none"/>
        </w:rPr>
      </w:pPr>
    </w:p>
    <w:p w14:paraId="1E9FF5E4">
      <w:pPr>
        <w:spacing w:line="360" w:lineRule="auto"/>
        <w:ind w:firstLine="480" w:firstLineChars="200"/>
        <w:jc w:val="right"/>
        <w:textAlignment w:val="baseline"/>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采购人：</w:t>
      </w:r>
      <w:r>
        <w:rPr>
          <w:rFonts w:hint="eastAsia" w:ascii="仿宋" w:hAnsi="仿宋" w:eastAsia="仿宋" w:cs="仿宋"/>
          <w:color w:val="auto"/>
          <w:sz w:val="24"/>
          <w:highlight w:val="none"/>
          <w:lang w:eastAsia="zh-CN"/>
        </w:rPr>
        <w:t>中国人民财产保险股份有限公司临沧市分公司</w:t>
      </w:r>
    </w:p>
    <w:p w14:paraId="0219940D">
      <w:pPr>
        <w:spacing w:line="360" w:lineRule="auto"/>
        <w:ind w:firstLine="480" w:firstLineChars="200"/>
        <w:jc w:val="right"/>
        <w:textAlignment w:val="baseline"/>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采购代理机构：云南中咨海外咨询有限公司</w:t>
      </w:r>
    </w:p>
    <w:p w14:paraId="492EE93A">
      <w:pPr>
        <w:spacing w:line="360" w:lineRule="auto"/>
        <w:ind w:firstLine="480" w:firstLineChars="200"/>
        <w:jc w:val="right"/>
        <w:textAlignment w:val="baseline"/>
      </w:pPr>
      <w:r>
        <w:rPr>
          <w:rFonts w:hint="eastAsia" w:ascii="仿宋" w:hAnsi="仿宋" w:eastAsia="仿宋" w:cs="仿宋"/>
          <w:color w:val="auto"/>
          <w:sz w:val="24"/>
          <w:highlight w:val="none"/>
        </w:rPr>
        <w:t>2026年</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12</w:t>
      </w:r>
      <w:r>
        <w:rPr>
          <w:rFonts w:hint="eastAsia" w:ascii="仿宋" w:hAnsi="仿宋" w:eastAsia="仿宋" w:cs="仿宋"/>
          <w:color w:val="auto"/>
          <w:sz w:val="24"/>
          <w:highlight w:val="none"/>
        </w:rPr>
        <w:t>日</w:t>
      </w: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A85442"/>
    <w:rsid w:val="5FEA5FE2"/>
    <w:rsid w:val="74D86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0"/>
    <w:pPr>
      <w:keepNext/>
      <w:keepLines/>
      <w:spacing w:line="360" w:lineRule="auto"/>
      <w:ind w:firstLine="540" w:firstLineChars="192"/>
      <w:jc w:val="center"/>
      <w:outlineLvl w:val="1"/>
    </w:pPr>
    <w:rPr>
      <w:rFonts w:ascii="Arial" w:hAnsi="Arial"/>
      <w:b/>
      <w:bCs/>
      <w:color w:val="FF0000"/>
      <w:sz w:val="28"/>
      <w:szCs w:val="32"/>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6">
    <w:name w:val="中文正文、"/>
    <w:basedOn w:val="1"/>
    <w:qFormat/>
    <w:uiPriority w:val="0"/>
    <w:pPr>
      <w:adjustRightInd/>
      <w:spacing w:line="360" w:lineRule="auto"/>
      <w:ind w:firstLine="420" w:firstLineChars="200"/>
    </w:pPr>
    <w:rPr>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2026-10-12T07:30:23Z</dcterms:created>
  <dc:creator>1</dc:creator>
  <cp:lastModifiedBy>清风</cp:lastModifiedBy>
  <dcterms:modified xsi:type="dcterms:W3CDTF">2026-10-12T07:32:22Z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eyJoZGlkIjoiYWJhOWEzYzc5NjIzNWM3M2Y1NzUxM2I5ODEzNTZmNmQiLCJ1c2VySWQiOiI5NDMzMzY5ODUifQ==</vt:lpwstr>
  </property>
  <property fmtid="{D5CDD505-2E9C-101B-9397-08002B2CF9AE}" pid="4" name="ICV">
    <vt:lpwstr>E5CE12C1EF104A3496EAA5A2B778A934_12</vt:lpwstr>
  </property>
</Properties>
</file>